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2A" w:rsidRDefault="00DB7F2A" w:rsidP="00DB7F2A">
      <w:pPr>
        <w:spacing w:after="105" w:line="240" w:lineRule="auto"/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</w:pPr>
      <w:r w:rsidRPr="00DB7F2A">
        <w:rPr>
          <w:rFonts w:ascii="Arial" w:eastAsia="Times New Roman" w:hAnsi="Arial" w:cs="Arial"/>
          <w:color w:val="303030"/>
          <w:sz w:val="24"/>
          <w:szCs w:val="24"/>
          <w:lang w:eastAsia="en-GB"/>
        </w:rPr>
        <w:br/>
      </w:r>
      <w:proofErr w:type="spellStart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>Преходни</w:t>
      </w:r>
      <w:proofErr w:type="spellEnd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 xml:space="preserve"> </w:t>
      </w:r>
      <w:proofErr w:type="spellStart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>разпоредби</w:t>
      </w:r>
      <w:proofErr w:type="spellEnd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>—</w:t>
      </w:r>
      <w:proofErr w:type="spellStart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>Преизчисление</w:t>
      </w:r>
      <w:proofErr w:type="spellEnd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 xml:space="preserve"> </w:t>
      </w:r>
      <w:proofErr w:type="spellStart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>на</w:t>
      </w:r>
      <w:proofErr w:type="spellEnd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 xml:space="preserve"> </w:t>
      </w:r>
      <w:proofErr w:type="spellStart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>репутацията</w:t>
      </w:r>
      <w:proofErr w:type="spellEnd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 xml:space="preserve"> и </w:t>
      </w:r>
      <w:proofErr w:type="spellStart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>отрицателната</w:t>
      </w:r>
      <w:proofErr w:type="spellEnd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 xml:space="preserve"> </w:t>
      </w:r>
      <w:proofErr w:type="spellStart"/>
      <w:r w:rsidRPr="00DB7F2A">
        <w:rPr>
          <w:rFonts w:ascii="Arial" w:eastAsia="Times New Roman" w:hAnsi="Arial" w:cs="Arial"/>
          <w:b/>
          <w:bCs/>
          <w:color w:val="303030"/>
          <w:sz w:val="24"/>
          <w:szCs w:val="24"/>
          <w:lang w:eastAsia="en-GB"/>
        </w:rPr>
        <w:t>репутация</w:t>
      </w:r>
      <w:proofErr w:type="spellEnd"/>
    </w:p>
    <w:p w:rsidR="00DB7F2A" w:rsidRPr="00DB7F2A" w:rsidRDefault="00DB7F2A" w:rsidP="00DB7F2A">
      <w:pPr>
        <w:spacing w:after="105" w:line="240" w:lineRule="auto"/>
        <w:rPr>
          <w:rFonts w:ascii="Arial" w:eastAsia="Times New Roman" w:hAnsi="Arial" w:cs="Arial"/>
          <w:color w:val="303030"/>
          <w:sz w:val="24"/>
          <w:szCs w:val="24"/>
          <w:lang w:eastAsia="en-GB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636"/>
        <w:gridCol w:w="4616"/>
      </w:tblGrid>
      <w:tr w:rsidR="00DB7F2A" w:rsidRPr="00DB7F2A" w:rsidTr="00DB7F2A"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Обстоятелства</w:t>
            </w:r>
            <w:proofErr w:type="spellEnd"/>
          </w:p>
        </w:tc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Изисквания</w:t>
            </w:r>
            <w:proofErr w:type="spellEnd"/>
          </w:p>
        </w:tc>
      </w:tr>
      <w:tr w:rsidR="00DB7F2A" w:rsidRPr="00DB7F2A" w:rsidTr="00DB7F2A">
        <w:tc>
          <w:tcPr>
            <w:tcW w:w="0" w:type="auto"/>
            <w:gridSpan w:val="2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Бизнескомбинация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представлява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възникнало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годишен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финансов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отчет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отнасящ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периоди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започващи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преди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1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януари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1995.</w:t>
            </w:r>
          </w:p>
        </w:tc>
      </w:tr>
      <w:tr w:rsidR="00DB7F2A" w:rsidRPr="00DB7F2A" w:rsidTr="00DB7F2A"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А)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отписана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срещу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намаление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увеличение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резервите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Преизчислението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насърчава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изисква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бъде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подложена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преизчисление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: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1)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преизчислете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всички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преди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януари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1995;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2)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приписана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съответствие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41 (59),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отчетете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начин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; и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gram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3)в</w:t>
            </w:r>
            <w:proofErr w:type="gram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съответствие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44—54 (61—63)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натрупаната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натрупаната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я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отчетете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начин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;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преоценката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насърчава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изисква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</w:tc>
      </w:tr>
      <w:tr w:rsidR="00DB7F2A" w:rsidRPr="00DB7F2A" w:rsidTr="00DB7F2A"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Б)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първоначално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бъдещи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периоди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със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41 (59).</w:t>
            </w:r>
          </w:p>
        </w:tc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бъде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подложена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преизчисление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приложете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изискванията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 (А)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по-горе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преизчислява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счита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правилно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lastRenderedPageBreak/>
              <w:t>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виж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обстоятелства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3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по-долу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</w:tc>
      </w:tr>
      <w:tr w:rsidR="00DB7F2A" w:rsidRPr="00DB7F2A" w:rsidTr="00DB7F2A">
        <w:tc>
          <w:tcPr>
            <w:tcW w:w="0" w:type="auto"/>
            <w:gridSpan w:val="2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lastRenderedPageBreak/>
              <w:t>2. 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Бизнескомбинация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представлява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възникнало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годишен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финансов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отчет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отнасящ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периоди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започващи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след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1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януари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1995,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но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преди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този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да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влязъл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сила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преди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прилагането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този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по-ранна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i/>
                <w:iCs/>
                <w:color w:val="303030"/>
                <w:sz w:val="24"/>
                <w:szCs w:val="24"/>
                <w:lang w:eastAsia="en-GB"/>
              </w:rPr>
              <w:t>).</w:t>
            </w:r>
          </w:p>
        </w:tc>
      </w:tr>
      <w:tr w:rsidR="00DB7F2A" w:rsidRPr="00DB7F2A" w:rsidTr="00DB7F2A"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А)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разходите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запридобиването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надхвърлят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дела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придобиващия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справедливата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разграничимите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пасиви</w:t>
            </w:r>
            <w:proofErr w:type="spellEnd"/>
          </w:p>
        </w:tc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 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приписаната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напридобиването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съответствие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41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този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виж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преходните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разпоредби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амортизиране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съгласно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обстоятелства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3 и 4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по-долу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останалите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случаи1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приписана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прилагане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41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този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осчетоводете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;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2)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натрупана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както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МСС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22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преработен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1993) и я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осчетоводете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приложим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двадесет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годишният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лимит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МСС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22,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преработен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1993); и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3) </w:t>
            </w:r>
            <w:proofErr w:type="spellStart"/>
            <w:proofErr w:type="gram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амортизирайте</w:t>
            </w:r>
            <w:proofErr w:type="spellEnd"/>
            <w:proofErr w:type="gram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евентуалния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остатък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балансова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спрямо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полезния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срок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настоящия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процедурата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обстоятелство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по-долу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).</w:t>
            </w:r>
          </w:p>
        </w:tc>
      </w:tr>
      <w:tr w:rsidR="00DB7F2A" w:rsidRPr="00DB7F2A" w:rsidTr="00DB7F2A"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Б)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: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1)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разходите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помалки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дела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придобиващия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справедливата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разграничимите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пасиви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; и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2) </w:t>
            </w:r>
            <w:proofErr w:type="spellStart"/>
            <w:proofErr w:type="gram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справедливата</w:t>
            </w:r>
            <w:proofErr w:type="spellEnd"/>
            <w:proofErr w:type="gram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придобитите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разграничими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непарични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намалена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премахване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превишението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препоръчителен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подход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МСС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22,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преработен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1993).</w:t>
            </w:r>
          </w:p>
        </w:tc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Преоценката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насърчава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изисква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преоценява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: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1)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преоценете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всички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след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януари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1995;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2)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приписана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прилагането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lastRenderedPageBreak/>
              <w:t>параграф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59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този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признайте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;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3)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съответстващата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натрупана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МСС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22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преработен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1993),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осчетоводете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; и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4) </w:t>
            </w:r>
            <w:proofErr w:type="spellStart"/>
            <w:proofErr w:type="gram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признайте</w:t>
            </w:r>
            <w:proofErr w:type="spellEnd"/>
            <w:proofErr w:type="gram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евентуалната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останала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балансова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през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остатъчния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среднопретеглен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полезен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срок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годност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придобитите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разграничими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амортизируеми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непарични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третиране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обстоятелство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по-долу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).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преоценява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има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такава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счита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правилно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определена</w:t>
            </w:r>
            <w:proofErr w:type="spellEnd"/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виж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обстоятелства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3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по-долу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</w:tc>
      </w:tr>
      <w:tr w:rsidR="00DB7F2A" w:rsidRPr="00DB7F2A" w:rsidTr="00DB7F2A"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lastRenderedPageBreak/>
              <w:t xml:space="preserve">В)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: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1)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разходите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по-малки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дела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придобиващия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справедливата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разграничимите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пасиви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; и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2) </w:t>
            </w:r>
            <w:proofErr w:type="spellStart"/>
            <w:proofErr w:type="gram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справедливата</w:t>
            </w:r>
            <w:proofErr w:type="spellEnd"/>
            <w:proofErr w:type="gram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придобитите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разграничими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непарични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намалена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премахване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излишъка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допустим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алтернативен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подход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МСС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22,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преработен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1993).</w:t>
            </w:r>
          </w:p>
        </w:tc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приписаната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й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съответствие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с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59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този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виж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преходните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разпоредби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признаване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обстоятелства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3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по-долу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.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останалите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случаи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: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1)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приписана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към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придобиването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прилагането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59,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осчетоводете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;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2)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съответстващата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натрупана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МСС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22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преработен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1993),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осчетоводете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съответно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; и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3) </w:t>
            </w:r>
            <w:proofErr w:type="spellStart"/>
            <w:proofErr w:type="gram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признайте</w:t>
            </w:r>
            <w:proofErr w:type="spellEnd"/>
            <w:proofErr w:type="gram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евентуалната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останала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балансова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lastRenderedPageBreak/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през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остатъчния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среднопретеглен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полезен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срок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придобитите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разграничими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амортизируеми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непарични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процедурата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обстоятелство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по-долу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).</w:t>
            </w:r>
          </w:p>
        </w:tc>
      </w:tr>
      <w:tr w:rsidR="00DB7F2A" w:rsidRPr="00DB7F2A" w:rsidTr="00DB7F2A"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lastRenderedPageBreak/>
              <w:t xml:space="preserve">3.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актив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но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амортизирана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амортиза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ционната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сума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нулева</w:t>
            </w:r>
            <w:proofErr w:type="spellEnd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.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първоначално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отделна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позиция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баланса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която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следвало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бъде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е с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нулева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Преизчислете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балансова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едно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че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винаги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определяна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настоящия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виж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44—54 (61—63).</w:t>
            </w:r>
          </w:p>
        </w:tc>
      </w:tr>
      <w:tr w:rsidR="00DB7F2A" w:rsidRPr="00DB7F2A" w:rsidTr="00DB7F2A"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4. 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вече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амортизирана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предишни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периоди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преизчислявайте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балансова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</w:t>
            </w:r>
            <w:proofErr w:type="spellStart"/>
            <w:r w:rsidRPr="00DB7F2A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eastAsia="en-GB"/>
              </w:rPr>
              <w:t>репутацията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 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каквато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да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е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било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разлика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между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натрупаната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предишни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периоди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натрупаната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стойност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признатата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)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предишни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периоди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калкулираната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настоящия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, а: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1)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амортизирайте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евентуалната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останала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балансова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през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остатъчния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полезен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срок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определен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настоящия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стандарт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виж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44—54); и</w:t>
            </w:r>
          </w:p>
          <w:p w:rsidR="00DB7F2A" w:rsidRPr="00DB7F2A" w:rsidRDefault="00DB7F2A" w:rsidP="00DB7F2A">
            <w:pPr>
              <w:spacing w:after="105" w:line="240" w:lineRule="auto"/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</w:pPr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2) </w:t>
            </w:r>
            <w:proofErr w:type="spellStart"/>
            <w:proofErr w:type="gram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признайте</w:t>
            </w:r>
            <w:proofErr w:type="spellEnd"/>
            <w:proofErr w:type="gram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евентуалната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балансова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сума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отрицателната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репутация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приход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през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остатъчния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среднопретеглен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полезен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срок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придобитите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разграничими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амортизируеми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непарични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активи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виж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параграф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62 а)—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т.е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всяка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промяна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третира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същия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начин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както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промяна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приблизителните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счетоводни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преценки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според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МСС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8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Нетна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печалба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или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загуба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за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периода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фундаментални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грешки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и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промени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в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счетоводната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политика</w:t>
            </w:r>
            <w:proofErr w:type="spellEnd"/>
            <w:r w:rsidRPr="00DB7F2A">
              <w:rPr>
                <w:rFonts w:ascii="Arial" w:eastAsia="Times New Roman" w:hAnsi="Arial" w:cs="Arial"/>
                <w:color w:val="303030"/>
                <w:sz w:val="24"/>
                <w:szCs w:val="24"/>
                <w:lang w:eastAsia="en-GB"/>
              </w:rPr>
              <w:t>.</w:t>
            </w:r>
          </w:p>
        </w:tc>
      </w:tr>
    </w:tbl>
    <w:p w:rsidR="0046072B" w:rsidRPr="00DB7F2A" w:rsidRDefault="0046072B" w:rsidP="00DB7F2A">
      <w:pPr>
        <w:rPr>
          <w:rFonts w:ascii="Arial" w:hAnsi="Arial" w:cs="Arial"/>
          <w:sz w:val="24"/>
          <w:szCs w:val="24"/>
        </w:rPr>
      </w:pPr>
    </w:p>
    <w:sectPr w:rsidR="0046072B" w:rsidRPr="00DB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2A"/>
    <w:rsid w:val="0046072B"/>
    <w:rsid w:val="00DB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2018-02-12T16:08:00Z</dcterms:created>
  <dcterms:modified xsi:type="dcterms:W3CDTF">2018-02-12T16:09:00Z</dcterms:modified>
</cp:coreProperties>
</file>